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2F73" w14:textId="060DE4C4" w:rsidR="00022BAF" w:rsidRDefault="00134E3E" w:rsidP="007264EA">
      <w:pPr>
        <w:ind w:left="-360" w:right="-630" w:hanging="180"/>
        <w:jc w:val="center"/>
      </w:pPr>
      <w:r>
        <w:rPr>
          <w:noProof/>
        </w:rPr>
        <mc:AlternateContent>
          <mc:Choice Requires="wps">
            <w:drawing>
              <wp:anchor distT="0" distB="0" distL="114300" distR="114300" simplePos="0" relativeHeight="251668480" behindDoc="0" locked="0" layoutInCell="1" allowOverlap="1" wp14:anchorId="0D4B3236" wp14:editId="1B6F0208">
                <wp:simplePos x="0" y="0"/>
                <wp:positionH relativeFrom="column">
                  <wp:posOffset>-685800</wp:posOffset>
                </wp:positionH>
                <wp:positionV relativeFrom="paragraph">
                  <wp:posOffset>0</wp:posOffset>
                </wp:positionV>
                <wp:extent cx="4229100" cy="800100"/>
                <wp:effectExtent l="0" t="0" r="0" b="12700"/>
                <wp:wrapThrough wrapText="bothSides">
                  <wp:wrapPolygon edited="0">
                    <wp:start x="130" y="0"/>
                    <wp:lineTo x="130" y="21257"/>
                    <wp:lineTo x="21276" y="21257"/>
                    <wp:lineTo x="21276" y="0"/>
                    <wp:lineTo x="130" y="0"/>
                  </wp:wrapPolygon>
                </wp:wrapThrough>
                <wp:docPr id="1" name="Text Box 1"/>
                <wp:cNvGraphicFramePr/>
                <a:graphic xmlns:a="http://schemas.openxmlformats.org/drawingml/2006/main">
                  <a:graphicData uri="http://schemas.microsoft.com/office/word/2010/wordprocessingShape">
                    <wps:wsp>
                      <wps:cNvSpPr txBox="1"/>
                      <wps:spPr>
                        <a:xfrm>
                          <a:off x="0" y="0"/>
                          <a:ext cx="4229100" cy="800100"/>
                        </a:xfrm>
                        <a:prstGeom prst="rect">
                          <a:avLst/>
                        </a:prstGeom>
                        <a:noFill/>
                        <a:ln>
                          <a:noFill/>
                        </a:ln>
                        <a:effectLst/>
                        <a:extLst>
                          <a:ext uri="{C572A759-6A51-4108-AA02-DFA0A04FC94B}">
                            <ma14:wrappingTextBoxFlag xmlns:ma14="http://schemas.microsoft.com/office/mac/drawingml/2011/main"/>
                          </a:ext>
                        </a:extLst>
                      </wps:spPr>
                      <wps:txbx>
                        <w:txbxContent>
                          <w:p w14:paraId="4779BA86" w14:textId="77777777" w:rsidR="00134E3E" w:rsidRPr="00134E3E" w:rsidRDefault="007264EA" w:rsidP="007264EA">
                            <w:pPr>
                              <w:tabs>
                                <w:tab w:val="left" w:pos="990"/>
                              </w:tabs>
                              <w:ind w:left="360" w:right="-63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rPr>
                              <w:drawing>
                                <wp:inline distT="0" distB="0" distL="0" distR="0" wp14:anchorId="28AC8BEE" wp14:editId="353A1AB2">
                                  <wp:extent cx="3351759" cy="391496"/>
                                  <wp:effectExtent l="0" t="0" r="127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280" cy="392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0;width:33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ryhX4CAAALBQAADgAAAGRycy9lMm9Eb2MueG1srFTLbtswELwX6D8QvDuSDOVhIXKgOHBRIEgD&#10;JEXONEXZAsRHSTpSWvTfO6TkvNpDUfRCL3fHy93ZWZ1fDLIjj8K6VquSZkcpJUJxXbdqW9Kv9+vZ&#10;GSXOM1WzTitR0ifh6MXy44fz3hRirne6q4UlSKJc0ZuS7rw3RZI4vhOSuSNthEKw0VYyj6vdJrVl&#10;PbLLLpmn6UnSa1sbq7lwDt6rMUiXMX/TCO6/NI0TnnQlRW0+njaem3Amy3NWbC0zu5ZPZbB/qEKy&#10;VuHR51RXzDOyt+1vqWTLrXa68Udcy0Q3TctF7AHdZOm7bu52zIjYC8hx5pkm9//S8pvHW0vaGrOj&#10;RDGJEd2LwZNLPZAssNMbVwB0ZwDzA9wBOfkdnKHpobEy/KIdgjh4fnrmNiTjcObz+SJLEeKInaVo&#10;NpKfvPzbWOc/CS1JMEpqMbtIKXu8dh4vAnqAhMeUXrddF+fXqTcOAEePiAIY/80KVAIzIENNcTg/&#10;Vsen8+r0eDE7qY6zWZ6lZ7OqSuezq3WVVmm+Xi3yy5+oQrIsL3rIxEBkgSAQse7YdhpJCP/dTCTj&#10;bxScZUnUztgfEsc+D6Umgf2R5WD5YTNM1G90/YSJWD0q2hm+bkHbNXP+lllIGExjLf0XHE2n+5Lq&#10;yaJkp+33P/kDHl0gSknotaTu255ZQUn3WUFziyzPww7FSw7mcLGvI5vXEbWXK42tg65QXTQD3ncH&#10;s7FaPmB7q/AqQkxxvF1SfzBXflxUbD8XVRVB2BrD/LW6MzykDtMMorgfHpg1k3I86LvRh+VhxTsB&#10;jdhRMdXe66aN6goEj6xiBOGCjYvDmL4OYaVf3yPq5Ru2/AUAAP//AwBQSwMEFAAGAAgAAAAhAIfM&#10;7tXdAAAACQEAAA8AAABkcnMvZG93bnJldi54bWxMj0FPwkAQhe8m/IfNkHiD3RKLULslBONVIyoJ&#10;t6U7tI3d2aa70PrvHU9ynLwvb76Xb0bXiiv2ofGkIZkrEEiltw1VGj4/XmYrECEasqb1hBp+MMCm&#10;mNzlJrN+oHe87mMluIRCZjTUMXaZlKGs0Zkw9x0SZ2ffOxP57CtpezNwuWvlQqmldKYh/lCbDnc1&#10;lt/7i9Pw9Xo+Hh7UW/Xs0m7wo5Lk1lLr++m4fQIRcYz/MPzpszoU7HTyF7JBtBpmiXpcM6uBJ3Ge&#10;pqsExInBxVKBLHJ5u6D4BQAA//8DAFBLAQItABQABgAIAAAAIQDkmcPA+wAAAOEBAAATAAAAAAAA&#10;AAAAAAAAAAAAAABbQ29udGVudF9UeXBlc10ueG1sUEsBAi0AFAAGAAgAAAAhACOyauHXAAAAlAEA&#10;AAsAAAAAAAAAAAAAAAAALAEAAF9yZWxzLy5yZWxzUEsBAi0AFAAGAAgAAAAhAOla8oV+AgAACwUA&#10;AA4AAAAAAAAAAAAAAAAALAIAAGRycy9lMm9Eb2MueG1sUEsBAi0AFAAGAAgAAAAhAIfM7tXdAAAA&#10;CQEAAA8AAAAAAAAAAAAAAAAA1gQAAGRycy9kb3ducmV2LnhtbFBLBQYAAAAABAAEAPMAAADgBQAA&#10;AAA=&#10;" filled="f" stroked="f">
                <v:textbox>
                  <w:txbxContent>
                    <w:p w14:paraId="4779BA86" w14:textId="77777777" w:rsidR="00134E3E" w:rsidRPr="00134E3E" w:rsidRDefault="007264EA" w:rsidP="007264EA">
                      <w:pPr>
                        <w:tabs>
                          <w:tab w:val="left" w:pos="990"/>
                        </w:tabs>
                        <w:ind w:left="360" w:right="-63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rPr>
                        <w:drawing>
                          <wp:inline distT="0" distB="0" distL="0" distR="0" wp14:anchorId="28AC8BEE" wp14:editId="353A1AB2">
                            <wp:extent cx="3351759" cy="391496"/>
                            <wp:effectExtent l="0" t="0" r="127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280" cy="392725"/>
                                    </a:xfrm>
                                    <a:prstGeom prst="rect">
                                      <a:avLst/>
                                    </a:prstGeom>
                                    <a:noFill/>
                                    <a:ln>
                                      <a:noFill/>
                                    </a:ln>
                                  </pic:spPr>
                                </pic:pic>
                              </a:graphicData>
                            </a:graphic>
                          </wp:inline>
                        </w:drawing>
                      </w:r>
                    </w:p>
                  </w:txbxContent>
                </v:textbox>
                <w10:wrap type="through"/>
              </v:shape>
            </w:pict>
          </mc:Fallback>
        </mc:AlternateContent>
      </w:r>
      <w:r w:rsidR="00BC2CB6">
        <w:rPr>
          <w:b/>
          <w:noProof/>
          <w:color w:val="EEECE1" w:themeColor="background2"/>
          <w:sz w:val="72"/>
          <w:szCs w:val="72"/>
        </w:rPr>
        <mc:AlternateContent>
          <mc:Choice Requires="wps">
            <w:drawing>
              <wp:anchor distT="0" distB="0" distL="114300" distR="114300" simplePos="0" relativeHeight="251664384" behindDoc="0" locked="0" layoutInCell="1" allowOverlap="1" wp14:anchorId="49EB08EF" wp14:editId="58C290A4">
                <wp:simplePos x="0" y="0"/>
                <wp:positionH relativeFrom="column">
                  <wp:posOffset>-114300</wp:posOffset>
                </wp:positionH>
                <wp:positionV relativeFrom="paragraph">
                  <wp:posOffset>1371600</wp:posOffset>
                </wp:positionV>
                <wp:extent cx="5829300" cy="7315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829300" cy="731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7B4FC" w14:textId="77777777" w:rsidR="001A19A6" w:rsidRPr="001A19A6" w:rsidRDefault="001A19A6" w:rsidP="00BC2CB6">
                            <w:pPr>
                              <w:widowControl w:val="0"/>
                              <w:autoSpaceDE w:val="0"/>
                              <w:autoSpaceDN w:val="0"/>
                              <w:adjustRightInd w:val="0"/>
                              <w:spacing w:after="240"/>
                              <w:jc w:val="center"/>
                              <w:rPr>
                                <w:rFonts w:ascii="Baskerville" w:hAnsi="Baskerville" w:cs="Baskerville"/>
                                <w:b/>
                                <w:sz w:val="36"/>
                                <w:szCs w:val="36"/>
                              </w:rPr>
                            </w:pPr>
                            <w:r w:rsidRPr="001A19A6">
                              <w:rPr>
                                <w:rFonts w:ascii="Baskerville" w:hAnsi="Baskerville" w:cs="Baskerville"/>
                                <w:b/>
                                <w:sz w:val="36"/>
                                <w:szCs w:val="36"/>
                              </w:rPr>
                              <w:t xml:space="preserve">2012 TPCA Fundraising Auction </w:t>
                            </w:r>
                          </w:p>
                          <w:p w14:paraId="13DF1590" w14:textId="5CD6F0D3" w:rsidR="00134E3E" w:rsidRDefault="001A19A6" w:rsidP="00BC2CB6">
                            <w:pPr>
                              <w:widowControl w:val="0"/>
                              <w:autoSpaceDE w:val="0"/>
                              <w:autoSpaceDN w:val="0"/>
                              <w:adjustRightInd w:val="0"/>
                              <w:spacing w:after="240"/>
                              <w:jc w:val="center"/>
                              <w:rPr>
                                <w:rFonts w:ascii="Baskerville" w:hAnsi="Baskerville" w:cs="Baskerville"/>
                                <w:b/>
                                <w:sz w:val="32"/>
                                <w:szCs w:val="32"/>
                              </w:rPr>
                            </w:pPr>
                            <w:r w:rsidRPr="001A19A6">
                              <w:rPr>
                                <w:rFonts w:ascii="Baskerville" w:hAnsi="Baskerville" w:cs="Baskerville"/>
                                <w:b/>
                                <w:sz w:val="32"/>
                                <w:szCs w:val="32"/>
                              </w:rPr>
                              <w:t>Underwriting Opportunities</w:t>
                            </w:r>
                          </w:p>
                          <w:p w14:paraId="0F2D5DBA" w14:textId="77777777" w:rsidR="001A19A6" w:rsidRDefault="001A19A6" w:rsidP="001A19A6">
                            <w:pPr>
                              <w:widowControl w:val="0"/>
                              <w:autoSpaceDE w:val="0"/>
                              <w:autoSpaceDN w:val="0"/>
                              <w:adjustRightInd w:val="0"/>
                              <w:spacing w:after="240"/>
                              <w:rPr>
                                <w:rFonts w:ascii="Baskerville" w:hAnsi="Baskerville" w:cs="Baskerville"/>
                                <w:sz w:val="28"/>
                                <w:szCs w:val="28"/>
                              </w:rPr>
                            </w:pPr>
                          </w:p>
                          <w:p w14:paraId="3CE1C138" w14:textId="2D21BC8B" w:rsidR="001A19A6" w:rsidRDefault="001A19A6" w:rsidP="001A19A6">
                            <w:pPr>
                              <w:widowControl w:val="0"/>
                              <w:autoSpaceDE w:val="0"/>
                              <w:autoSpaceDN w:val="0"/>
                              <w:adjustRightInd w:val="0"/>
                              <w:spacing w:after="240"/>
                              <w:rPr>
                                <w:rFonts w:ascii="Baskerville" w:hAnsi="Baskerville" w:cs="Baskerville"/>
                                <w:sz w:val="28"/>
                                <w:szCs w:val="28"/>
                              </w:rPr>
                            </w:pPr>
                            <w:r>
                              <w:rPr>
                                <w:rFonts w:ascii="Baskerville" w:hAnsi="Baskerville" w:cs="Baskerville"/>
                                <w:sz w:val="28"/>
                                <w:szCs w:val="28"/>
                              </w:rPr>
                              <w:t>Businesses and individuals can underwrite any of the following expenses in whole, or in part. Underwriters will be directly acknowledged in connection with the specific expense they underwrite, and will receive the corresponding “Sponsorship” package depending on the amount of underwriting.</w:t>
                            </w:r>
                          </w:p>
                          <w:p w14:paraId="024AFA44" w14:textId="55E680D8"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Invitation printing costs and/or postage</w:t>
                            </w:r>
                          </w:p>
                          <w:p w14:paraId="6A36DDC3" w14:textId="4EA12842"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Auctioneer services</w:t>
                            </w:r>
                          </w:p>
                          <w:p w14:paraId="06E9B3BE" w14:textId="64A970C6"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Facility rental costs</w:t>
                            </w:r>
                          </w:p>
                          <w:p w14:paraId="17925A93" w14:textId="7B69A8D8"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Catering costs (food, beverage, chair/table/linen rental)</w:t>
                            </w:r>
                          </w:p>
                          <w:p w14:paraId="53583EAF" w14:textId="76C07893"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Decorations</w:t>
                            </w:r>
                          </w:p>
                          <w:p w14:paraId="1F7F6E8A" w14:textId="05F18267"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Admission tickets for TPCA teachers and staff</w:t>
                            </w:r>
                          </w:p>
                          <w:p w14:paraId="50DE9471" w14:textId="1D246A9C"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 xml:space="preserve">Gift baskets </w:t>
                            </w:r>
                          </w:p>
                          <w:p w14:paraId="13F54CC1" w14:textId="7EE00A02" w:rsidR="001A19A6" w:rsidRDefault="001A19A6" w:rsidP="001A19A6">
                            <w:pPr>
                              <w:rPr>
                                <w:rFonts w:ascii="Baskerville" w:hAnsi="Baskerville" w:cs="Baskerville"/>
                                <w:sz w:val="28"/>
                                <w:szCs w:val="28"/>
                              </w:rPr>
                            </w:pPr>
                            <w:r>
                              <w:rPr>
                                <w:rFonts w:ascii="Baskerville" w:hAnsi="Baskerville" w:cs="Baskerville"/>
                                <w:sz w:val="28"/>
                                <w:szCs w:val="28"/>
                              </w:rPr>
                              <w:t xml:space="preserve">Please contact Heather Quilhot, 2012 Auction Chair, at  </w:t>
                            </w:r>
                            <w:r>
                              <w:rPr>
                                <w:rFonts w:ascii="Baskerville" w:hAnsi="Baskerville" w:cs="Baskerville"/>
                                <w:sz w:val="28"/>
                                <w:szCs w:val="28"/>
                              </w:rPr>
                              <w:t>(317) 755-</w:t>
                            </w:r>
                            <w:proofErr w:type="gramStart"/>
                            <w:r>
                              <w:rPr>
                                <w:rFonts w:ascii="Baskerville" w:hAnsi="Baskerville" w:cs="Baskerville"/>
                                <w:sz w:val="28"/>
                                <w:szCs w:val="28"/>
                              </w:rPr>
                              <w:t xml:space="preserve">6887 </w:t>
                            </w:r>
                            <w:r>
                              <w:rPr>
                                <w:rFonts w:ascii="Baskerville" w:hAnsi="Baskerville" w:cs="Baskerville"/>
                                <w:sz w:val="28"/>
                                <w:szCs w:val="28"/>
                              </w:rPr>
                              <w:t xml:space="preserve"> or</w:t>
                            </w:r>
                            <w:proofErr w:type="gramEnd"/>
                            <w:r>
                              <w:rPr>
                                <w:rFonts w:ascii="Baskerville" w:hAnsi="Baskerville" w:cs="Baskerville"/>
                                <w:sz w:val="28"/>
                                <w:szCs w:val="28"/>
                              </w:rPr>
                              <w:t xml:space="preserve"> </w:t>
                            </w:r>
                            <w:r>
                              <w:rPr>
                                <w:rFonts w:ascii="Baskerville" w:hAnsi="Baskerville" w:cs="Baskerville"/>
                                <w:sz w:val="28"/>
                                <w:szCs w:val="28"/>
                              </w:rPr>
                              <w:fldChar w:fldCharType="begin"/>
                            </w:r>
                            <w:r>
                              <w:rPr>
                                <w:rFonts w:ascii="Baskerville" w:hAnsi="Baskerville" w:cs="Baskerville"/>
                                <w:sz w:val="28"/>
                                <w:szCs w:val="28"/>
                              </w:rPr>
                              <w:instrText xml:space="preserve"> HYPERLINK "mailto:tpca.auction@gmail.com" </w:instrText>
                            </w:r>
                            <w:r>
                              <w:rPr>
                                <w:rFonts w:ascii="Baskerville" w:hAnsi="Baskerville" w:cs="Baskerville"/>
                                <w:sz w:val="28"/>
                                <w:szCs w:val="28"/>
                              </w:rPr>
                              <w:fldChar w:fldCharType="separate"/>
                            </w:r>
                            <w:r w:rsidRPr="004A38BD">
                              <w:rPr>
                                <w:rStyle w:val="Hyperlink"/>
                                <w:rFonts w:ascii="Baskerville" w:hAnsi="Baskerville" w:cs="Baskerville"/>
                                <w:sz w:val="28"/>
                                <w:szCs w:val="28"/>
                              </w:rPr>
                              <w:t>tpca.auction@gmail.com</w:t>
                            </w:r>
                            <w:r>
                              <w:rPr>
                                <w:rFonts w:ascii="Baskerville" w:hAnsi="Baskerville" w:cs="Baskerville"/>
                                <w:sz w:val="28"/>
                                <w:szCs w:val="28"/>
                              </w:rPr>
                              <w:fldChar w:fldCharType="end"/>
                            </w:r>
                            <w:bookmarkStart w:id="0" w:name="_GoBack"/>
                            <w:bookmarkEnd w:id="0"/>
                            <w:r>
                              <w:rPr>
                                <w:rFonts w:ascii="Baskerville" w:hAnsi="Baskerville" w:cs="Baskerville"/>
                                <w:sz w:val="28"/>
                                <w:szCs w:val="28"/>
                              </w:rPr>
                              <w:t xml:space="preserve"> if you are interested in supporting the auction through underwriting. </w:t>
                            </w:r>
                          </w:p>
                          <w:p w14:paraId="53C66794" w14:textId="77777777" w:rsidR="001A19A6" w:rsidRDefault="001A19A6" w:rsidP="001A19A6">
                            <w:pPr>
                              <w:rPr>
                                <w:rFonts w:ascii="Baskerville" w:hAnsi="Baskerville" w:cs="Baskerville"/>
                                <w:sz w:val="28"/>
                                <w:szCs w:val="28"/>
                              </w:rPr>
                            </w:pPr>
                          </w:p>
                          <w:p w14:paraId="43DBF46E" w14:textId="77777777" w:rsidR="001A19A6" w:rsidRDefault="001A19A6" w:rsidP="001A19A6">
                            <w:pPr>
                              <w:rPr>
                                <w:rFonts w:ascii="Baskerville" w:hAnsi="Baskerville" w:cs="Baskerville"/>
                                <w:sz w:val="28"/>
                                <w:szCs w:val="28"/>
                              </w:rPr>
                            </w:pPr>
                          </w:p>
                          <w:p w14:paraId="3DD75012" w14:textId="77777777" w:rsidR="001A19A6" w:rsidRDefault="001A19A6" w:rsidP="001A19A6">
                            <w:pPr>
                              <w:rPr>
                                <w:rFonts w:ascii="Baskerville" w:hAnsi="Baskerville" w:cs="Baskerville"/>
                                <w:sz w:val="28"/>
                                <w:szCs w:val="28"/>
                              </w:rPr>
                            </w:pPr>
                          </w:p>
                          <w:p w14:paraId="71E0AFD5" w14:textId="77777777" w:rsidR="001A19A6" w:rsidRPr="001A19A6" w:rsidRDefault="001A19A6" w:rsidP="001A19A6">
                            <w:pPr>
                              <w:rPr>
                                <w:rFonts w:ascii="Baskerville" w:hAnsi="Baskerville" w:cs="Baskerville"/>
                              </w:rPr>
                            </w:pPr>
                          </w:p>
                          <w:p w14:paraId="704AE69D" w14:textId="77777777" w:rsidR="00134E3E" w:rsidRDefault="00134E3E" w:rsidP="00134E3E">
                            <w:pPr>
                              <w:widowControl w:val="0"/>
                              <w:autoSpaceDE w:val="0"/>
                              <w:autoSpaceDN w:val="0"/>
                              <w:adjustRightInd w:val="0"/>
                              <w:spacing w:after="240"/>
                              <w:contextualSpacing/>
                              <w:jc w:val="center"/>
                              <w:rPr>
                                <w:rFonts w:ascii="Times" w:hAnsi="Times" w:cs="Times"/>
                              </w:rPr>
                            </w:pPr>
                            <w:r>
                              <w:rPr>
                                <w:rFonts w:ascii="Helvetica" w:hAnsi="Helvetica" w:cs="Helvetica"/>
                                <w:sz w:val="14"/>
                                <w:szCs w:val="14"/>
                              </w:rPr>
                              <w:t xml:space="preserve">6600 S. Indianapolis Road, </w:t>
                            </w:r>
                            <w:proofErr w:type="spellStart"/>
                            <w:r>
                              <w:rPr>
                                <w:rFonts w:ascii="Helvetica" w:hAnsi="Helvetica" w:cs="Helvetica"/>
                                <w:sz w:val="14"/>
                                <w:szCs w:val="14"/>
                              </w:rPr>
                              <w:t>Whitestown</w:t>
                            </w:r>
                            <w:proofErr w:type="spellEnd"/>
                            <w:r>
                              <w:rPr>
                                <w:rFonts w:ascii="Helvetica" w:hAnsi="Helvetica" w:cs="Helvetica"/>
                                <w:sz w:val="14"/>
                                <w:szCs w:val="14"/>
                              </w:rPr>
                              <w:t xml:space="preserve">, IN 46075 | </w:t>
                            </w:r>
                            <w:proofErr w:type="spellStart"/>
                            <w:r>
                              <w:rPr>
                                <w:rFonts w:ascii="Helvetica" w:hAnsi="Helvetica" w:cs="Helvetica"/>
                                <w:sz w:val="14"/>
                                <w:szCs w:val="14"/>
                              </w:rPr>
                              <w:t>ph</w:t>
                            </w:r>
                            <w:proofErr w:type="spellEnd"/>
                            <w:r>
                              <w:rPr>
                                <w:rFonts w:ascii="Helvetica" w:hAnsi="Helvetica" w:cs="Helvetica"/>
                                <w:sz w:val="14"/>
                                <w:szCs w:val="14"/>
                              </w:rPr>
                              <w:t xml:space="preserve"> 317.769.2450 | fax 317.769.2456</w:t>
                            </w:r>
                          </w:p>
                          <w:p w14:paraId="047E02CF" w14:textId="77777777" w:rsidR="00134E3E" w:rsidRDefault="00134E3E" w:rsidP="00134E3E">
                            <w:pPr>
                              <w:widowControl w:val="0"/>
                              <w:autoSpaceDE w:val="0"/>
                              <w:autoSpaceDN w:val="0"/>
                              <w:adjustRightInd w:val="0"/>
                              <w:spacing w:after="240"/>
                              <w:contextualSpacing/>
                              <w:jc w:val="center"/>
                              <w:rPr>
                                <w:rFonts w:ascii="Times" w:hAnsi="Times" w:cs="Times"/>
                              </w:rPr>
                            </w:pPr>
                            <w:proofErr w:type="gramStart"/>
                            <w:r>
                              <w:rPr>
                                <w:rFonts w:ascii="Helvetica" w:hAnsi="Helvetica" w:cs="Helvetica"/>
                                <w:color w:val="00008E"/>
                                <w:sz w:val="14"/>
                                <w:szCs w:val="14"/>
                              </w:rPr>
                              <w:t>www.tpcs.org</w:t>
                            </w:r>
                            <w:proofErr w:type="gramEnd"/>
                            <w:r>
                              <w:rPr>
                                <w:rFonts w:ascii="Helvetica" w:hAnsi="Helvetica" w:cs="Helvetica"/>
                                <w:color w:val="00008E"/>
                                <w:sz w:val="14"/>
                                <w:szCs w:val="14"/>
                              </w:rPr>
                              <w:t xml:space="preserve"> </w:t>
                            </w:r>
                            <w:r>
                              <w:rPr>
                                <w:rFonts w:ascii="Helvetica" w:hAnsi="Helvetica" w:cs="Helvetica"/>
                                <w:sz w:val="14"/>
                                <w:szCs w:val="14"/>
                              </w:rPr>
                              <w:t>| tpca.auction@gmail.com</w:t>
                            </w:r>
                          </w:p>
                          <w:p w14:paraId="713E76B8" w14:textId="77777777" w:rsidR="00134E3E" w:rsidRDefault="0013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7" type="#_x0000_t202" style="position:absolute;left:0;text-align:left;margin-left:-8.95pt;margin-top:108pt;width:459pt;height:8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ojWtICAAAYBgAADgAAAGRycy9lMm9Eb2MueG1srFRNb9swDL0P2H8wdE9tp0nbGHUKN0WGAcVa&#10;rB16VmQ5MWZ9TFISZ8P++57kOE27HdZhF5siKYp8j+TlVSuaaMONrZXMSXqSkIhLpspaLnPy5XE+&#10;uCCRdVSWtFGS52THLbmavn93udUZH6qVakpuIgSRNtvqnKyc01kcW7bigtoTpbmEsVJGUIejWcal&#10;oVtEF008TJKzeKtMqY1i3FpobzojmYb4VcWZu6sqy13U5AS5ufA14bvw33h6SbOloXpVs30a9B+y&#10;ELSWePQQ6oY6Gq1N/VsoUTOjrKrcCVMiVlVVMx5qQDVp8qqahxXVPNQCcKw+wGT/X1j2aXNvoroE&#10;d2BKUgGOHnnromvVRlABn622GdweNBxdCz18e72F0pfdVkb4PwqKYAfSuwO6PhqDcnwxnJwmMDHY&#10;zk/TMfjzceLn69pY94ErEXkhJwb0BVTp5ta6zrV38a9JNa+bJlDYyBcKxOw0PPRAd5tmSAWi9/RJ&#10;BX5+zMbnw+J8PBmcFeN0MEqTi0FRJMPBzbxIimQ0n01G1z+RhaDpKNuiUzT6zEMEJOYNXe5Z8ea/&#10;o0VQ9qKJ0zQO7dPVh8ABkj7V2MPfwRwkt2u4L6CRn3kF4gLaXhFGhs8aE20omp0yxqULRAUw4O29&#10;KgD2lot7/wBZgPItlzvw+5eVdIfLopbKBGpfpV1+7VOuOn+AcVS3F127aLuO7btwocodmtOobryt&#10;ZvMaDXRLrbunBvOMpsOOcnf4VI3a5kTtJRKtlPn+J733B5+wksiznhP7bU0NJ1HzUWIAJ+lo5BdK&#10;OIzQQziYY8vi2CLXYqbASoptqFkQvb9rerEySjxhlRX+VZioZHg7J64XZ67bWliFjBdFcMIK0dTd&#10;ygfNfGhPkh+Px/aJGr2fIYdG+qT6TUKzV6PU+fqbUhVrp6o6zJnHuUN1jz/WT2jL/ar0++34HLye&#10;F/r0FwAAAP//AwBQSwMEFAAGAAgAAAAhAIWc82bfAAAADAEAAA8AAABkcnMvZG93bnJldi54bWxM&#10;j8FOwzAQRO9I/IO1SNxaOwVCE+JUFYgrqC0gcXPjbRI1Xkex24S/ZznR42qfZt4Uq8l14oxDaD1p&#10;SOYKBFLlbUu1ho/d62wJIkRD1nSeUMMPBliV11eFya0faYPnbawFh1DIjYYmxj6XMlQNOhPmvkfi&#10;38EPzkQ+h1rawYwc7jq5UCqVzrTEDY3p8bnB6rg9OQ2fb4fvr3v1Xr+4h370k5LkMqn17c20fgIR&#10;cYr/MPzpszqU7LT3J7JBdBpmyWPGqIZFkvIoJjKlEhB7Ru/SpQJZFvJyRPkLAAD//wMAUEsBAi0A&#10;FAAGAAgAAAAhAOSZw8D7AAAA4QEAABMAAAAAAAAAAAAAAAAAAAAAAFtDb250ZW50X1R5cGVzXS54&#10;bWxQSwECLQAUAAYACAAAACEAI7Jq4dcAAACUAQAACwAAAAAAAAAAAAAAAAAsAQAAX3JlbHMvLnJl&#10;bHNQSwECLQAUAAYACAAAACEAr6ojWtICAAAYBgAADgAAAAAAAAAAAAAAAAAsAgAAZHJzL2Uyb0Rv&#10;Yy54bWxQSwECLQAUAAYACAAAACEAhZzzZt8AAAAMAQAADwAAAAAAAAAAAAAAAAAqBQAAZHJzL2Rv&#10;d25yZXYueG1sUEsFBgAAAAAEAAQA8wAAADYGAAAAAA==&#10;" filled="f" stroked="f">
                <v:textbox>
                  <w:txbxContent>
                    <w:p w14:paraId="20A7B4FC" w14:textId="77777777" w:rsidR="001A19A6" w:rsidRPr="001A19A6" w:rsidRDefault="001A19A6" w:rsidP="00BC2CB6">
                      <w:pPr>
                        <w:widowControl w:val="0"/>
                        <w:autoSpaceDE w:val="0"/>
                        <w:autoSpaceDN w:val="0"/>
                        <w:adjustRightInd w:val="0"/>
                        <w:spacing w:after="240"/>
                        <w:jc w:val="center"/>
                        <w:rPr>
                          <w:rFonts w:ascii="Baskerville" w:hAnsi="Baskerville" w:cs="Baskerville"/>
                          <w:b/>
                          <w:sz w:val="36"/>
                          <w:szCs w:val="36"/>
                        </w:rPr>
                      </w:pPr>
                      <w:r w:rsidRPr="001A19A6">
                        <w:rPr>
                          <w:rFonts w:ascii="Baskerville" w:hAnsi="Baskerville" w:cs="Baskerville"/>
                          <w:b/>
                          <w:sz w:val="36"/>
                          <w:szCs w:val="36"/>
                        </w:rPr>
                        <w:t xml:space="preserve">2012 TPCA Fundraising Auction </w:t>
                      </w:r>
                    </w:p>
                    <w:p w14:paraId="13DF1590" w14:textId="5CD6F0D3" w:rsidR="00134E3E" w:rsidRDefault="001A19A6" w:rsidP="00BC2CB6">
                      <w:pPr>
                        <w:widowControl w:val="0"/>
                        <w:autoSpaceDE w:val="0"/>
                        <w:autoSpaceDN w:val="0"/>
                        <w:adjustRightInd w:val="0"/>
                        <w:spacing w:after="240"/>
                        <w:jc w:val="center"/>
                        <w:rPr>
                          <w:rFonts w:ascii="Baskerville" w:hAnsi="Baskerville" w:cs="Baskerville"/>
                          <w:b/>
                          <w:sz w:val="32"/>
                          <w:szCs w:val="32"/>
                        </w:rPr>
                      </w:pPr>
                      <w:r w:rsidRPr="001A19A6">
                        <w:rPr>
                          <w:rFonts w:ascii="Baskerville" w:hAnsi="Baskerville" w:cs="Baskerville"/>
                          <w:b/>
                          <w:sz w:val="32"/>
                          <w:szCs w:val="32"/>
                        </w:rPr>
                        <w:t>Underwriting Opportunities</w:t>
                      </w:r>
                    </w:p>
                    <w:p w14:paraId="0F2D5DBA" w14:textId="77777777" w:rsidR="001A19A6" w:rsidRDefault="001A19A6" w:rsidP="001A19A6">
                      <w:pPr>
                        <w:widowControl w:val="0"/>
                        <w:autoSpaceDE w:val="0"/>
                        <w:autoSpaceDN w:val="0"/>
                        <w:adjustRightInd w:val="0"/>
                        <w:spacing w:after="240"/>
                        <w:rPr>
                          <w:rFonts w:ascii="Baskerville" w:hAnsi="Baskerville" w:cs="Baskerville"/>
                          <w:sz w:val="28"/>
                          <w:szCs w:val="28"/>
                        </w:rPr>
                      </w:pPr>
                    </w:p>
                    <w:p w14:paraId="3CE1C138" w14:textId="2D21BC8B" w:rsidR="001A19A6" w:rsidRDefault="001A19A6" w:rsidP="001A19A6">
                      <w:pPr>
                        <w:widowControl w:val="0"/>
                        <w:autoSpaceDE w:val="0"/>
                        <w:autoSpaceDN w:val="0"/>
                        <w:adjustRightInd w:val="0"/>
                        <w:spacing w:after="240"/>
                        <w:rPr>
                          <w:rFonts w:ascii="Baskerville" w:hAnsi="Baskerville" w:cs="Baskerville"/>
                          <w:sz w:val="28"/>
                          <w:szCs w:val="28"/>
                        </w:rPr>
                      </w:pPr>
                      <w:r>
                        <w:rPr>
                          <w:rFonts w:ascii="Baskerville" w:hAnsi="Baskerville" w:cs="Baskerville"/>
                          <w:sz w:val="28"/>
                          <w:szCs w:val="28"/>
                        </w:rPr>
                        <w:t>Businesses and individuals can underwrite any of the following expenses in whole, or in part. Underwriters will be directly acknowledged in connection with the specific expense they underwrite, and will receive the corresponding “Sponsorship” package depending on the amount of underwriting.</w:t>
                      </w:r>
                    </w:p>
                    <w:p w14:paraId="024AFA44" w14:textId="55E680D8"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Invitation printing costs and/or postage</w:t>
                      </w:r>
                    </w:p>
                    <w:p w14:paraId="6A36DDC3" w14:textId="4EA12842"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Auctioneer services</w:t>
                      </w:r>
                    </w:p>
                    <w:p w14:paraId="06E9B3BE" w14:textId="64A970C6"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Facility rental costs</w:t>
                      </w:r>
                    </w:p>
                    <w:p w14:paraId="17925A93" w14:textId="7B69A8D8"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Catering costs (food, beverage, chair/table/linen rental)</w:t>
                      </w:r>
                    </w:p>
                    <w:p w14:paraId="53583EAF" w14:textId="76C07893"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Decorations</w:t>
                      </w:r>
                    </w:p>
                    <w:p w14:paraId="1F7F6E8A" w14:textId="05F18267"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Admission tickets for TPCA teachers and staff</w:t>
                      </w:r>
                    </w:p>
                    <w:p w14:paraId="50DE9471" w14:textId="1D246A9C" w:rsidR="001A19A6" w:rsidRDefault="001A19A6" w:rsidP="001A19A6">
                      <w:pPr>
                        <w:pStyle w:val="ListParagraph"/>
                        <w:widowControl w:val="0"/>
                        <w:numPr>
                          <w:ilvl w:val="0"/>
                          <w:numId w:val="1"/>
                        </w:numPr>
                        <w:autoSpaceDE w:val="0"/>
                        <w:autoSpaceDN w:val="0"/>
                        <w:adjustRightInd w:val="0"/>
                        <w:spacing w:after="240" w:line="480" w:lineRule="auto"/>
                        <w:rPr>
                          <w:rFonts w:ascii="Baskerville" w:hAnsi="Baskerville" w:cs="Baskerville"/>
                          <w:sz w:val="28"/>
                          <w:szCs w:val="28"/>
                        </w:rPr>
                      </w:pPr>
                      <w:r>
                        <w:rPr>
                          <w:rFonts w:ascii="Baskerville" w:hAnsi="Baskerville" w:cs="Baskerville"/>
                          <w:sz w:val="28"/>
                          <w:szCs w:val="28"/>
                        </w:rPr>
                        <w:t xml:space="preserve">Gift baskets </w:t>
                      </w:r>
                    </w:p>
                    <w:p w14:paraId="13F54CC1" w14:textId="7EE00A02" w:rsidR="001A19A6" w:rsidRDefault="001A19A6" w:rsidP="001A19A6">
                      <w:pPr>
                        <w:rPr>
                          <w:rFonts w:ascii="Baskerville" w:hAnsi="Baskerville" w:cs="Baskerville"/>
                          <w:sz w:val="28"/>
                          <w:szCs w:val="28"/>
                        </w:rPr>
                      </w:pPr>
                      <w:r>
                        <w:rPr>
                          <w:rFonts w:ascii="Baskerville" w:hAnsi="Baskerville" w:cs="Baskerville"/>
                          <w:sz w:val="28"/>
                          <w:szCs w:val="28"/>
                        </w:rPr>
                        <w:t xml:space="preserve">Please contact Heather Quilhot, 2012 Auction Chair, at  </w:t>
                      </w:r>
                      <w:r>
                        <w:rPr>
                          <w:rFonts w:ascii="Baskerville" w:hAnsi="Baskerville" w:cs="Baskerville"/>
                          <w:sz w:val="28"/>
                          <w:szCs w:val="28"/>
                        </w:rPr>
                        <w:t>(317) 755-</w:t>
                      </w:r>
                      <w:proofErr w:type="gramStart"/>
                      <w:r>
                        <w:rPr>
                          <w:rFonts w:ascii="Baskerville" w:hAnsi="Baskerville" w:cs="Baskerville"/>
                          <w:sz w:val="28"/>
                          <w:szCs w:val="28"/>
                        </w:rPr>
                        <w:t xml:space="preserve">6887 </w:t>
                      </w:r>
                      <w:r>
                        <w:rPr>
                          <w:rFonts w:ascii="Baskerville" w:hAnsi="Baskerville" w:cs="Baskerville"/>
                          <w:sz w:val="28"/>
                          <w:szCs w:val="28"/>
                        </w:rPr>
                        <w:t xml:space="preserve"> or</w:t>
                      </w:r>
                      <w:proofErr w:type="gramEnd"/>
                      <w:r>
                        <w:rPr>
                          <w:rFonts w:ascii="Baskerville" w:hAnsi="Baskerville" w:cs="Baskerville"/>
                          <w:sz w:val="28"/>
                          <w:szCs w:val="28"/>
                        </w:rPr>
                        <w:t xml:space="preserve"> </w:t>
                      </w:r>
                      <w:r>
                        <w:rPr>
                          <w:rFonts w:ascii="Baskerville" w:hAnsi="Baskerville" w:cs="Baskerville"/>
                          <w:sz w:val="28"/>
                          <w:szCs w:val="28"/>
                        </w:rPr>
                        <w:fldChar w:fldCharType="begin"/>
                      </w:r>
                      <w:r>
                        <w:rPr>
                          <w:rFonts w:ascii="Baskerville" w:hAnsi="Baskerville" w:cs="Baskerville"/>
                          <w:sz w:val="28"/>
                          <w:szCs w:val="28"/>
                        </w:rPr>
                        <w:instrText xml:space="preserve"> HYPERLINK "mailto:tpca.auction@gmail.com" </w:instrText>
                      </w:r>
                      <w:r>
                        <w:rPr>
                          <w:rFonts w:ascii="Baskerville" w:hAnsi="Baskerville" w:cs="Baskerville"/>
                          <w:sz w:val="28"/>
                          <w:szCs w:val="28"/>
                        </w:rPr>
                        <w:fldChar w:fldCharType="separate"/>
                      </w:r>
                      <w:r w:rsidRPr="004A38BD">
                        <w:rPr>
                          <w:rStyle w:val="Hyperlink"/>
                          <w:rFonts w:ascii="Baskerville" w:hAnsi="Baskerville" w:cs="Baskerville"/>
                          <w:sz w:val="28"/>
                          <w:szCs w:val="28"/>
                        </w:rPr>
                        <w:t>tpca.auction@gmail.com</w:t>
                      </w:r>
                      <w:r>
                        <w:rPr>
                          <w:rFonts w:ascii="Baskerville" w:hAnsi="Baskerville" w:cs="Baskerville"/>
                          <w:sz w:val="28"/>
                          <w:szCs w:val="28"/>
                        </w:rPr>
                        <w:fldChar w:fldCharType="end"/>
                      </w:r>
                      <w:bookmarkStart w:id="1" w:name="_GoBack"/>
                      <w:bookmarkEnd w:id="1"/>
                      <w:r>
                        <w:rPr>
                          <w:rFonts w:ascii="Baskerville" w:hAnsi="Baskerville" w:cs="Baskerville"/>
                          <w:sz w:val="28"/>
                          <w:szCs w:val="28"/>
                        </w:rPr>
                        <w:t xml:space="preserve"> if you are interested in supporting the auction through underwriting. </w:t>
                      </w:r>
                    </w:p>
                    <w:p w14:paraId="53C66794" w14:textId="77777777" w:rsidR="001A19A6" w:rsidRDefault="001A19A6" w:rsidP="001A19A6">
                      <w:pPr>
                        <w:rPr>
                          <w:rFonts w:ascii="Baskerville" w:hAnsi="Baskerville" w:cs="Baskerville"/>
                          <w:sz w:val="28"/>
                          <w:szCs w:val="28"/>
                        </w:rPr>
                      </w:pPr>
                    </w:p>
                    <w:p w14:paraId="43DBF46E" w14:textId="77777777" w:rsidR="001A19A6" w:rsidRDefault="001A19A6" w:rsidP="001A19A6">
                      <w:pPr>
                        <w:rPr>
                          <w:rFonts w:ascii="Baskerville" w:hAnsi="Baskerville" w:cs="Baskerville"/>
                          <w:sz w:val="28"/>
                          <w:szCs w:val="28"/>
                        </w:rPr>
                      </w:pPr>
                    </w:p>
                    <w:p w14:paraId="3DD75012" w14:textId="77777777" w:rsidR="001A19A6" w:rsidRDefault="001A19A6" w:rsidP="001A19A6">
                      <w:pPr>
                        <w:rPr>
                          <w:rFonts w:ascii="Baskerville" w:hAnsi="Baskerville" w:cs="Baskerville"/>
                          <w:sz w:val="28"/>
                          <w:szCs w:val="28"/>
                        </w:rPr>
                      </w:pPr>
                    </w:p>
                    <w:p w14:paraId="71E0AFD5" w14:textId="77777777" w:rsidR="001A19A6" w:rsidRPr="001A19A6" w:rsidRDefault="001A19A6" w:rsidP="001A19A6">
                      <w:pPr>
                        <w:rPr>
                          <w:rFonts w:ascii="Baskerville" w:hAnsi="Baskerville" w:cs="Baskerville"/>
                        </w:rPr>
                      </w:pPr>
                    </w:p>
                    <w:p w14:paraId="704AE69D" w14:textId="77777777" w:rsidR="00134E3E" w:rsidRDefault="00134E3E" w:rsidP="00134E3E">
                      <w:pPr>
                        <w:widowControl w:val="0"/>
                        <w:autoSpaceDE w:val="0"/>
                        <w:autoSpaceDN w:val="0"/>
                        <w:adjustRightInd w:val="0"/>
                        <w:spacing w:after="240"/>
                        <w:contextualSpacing/>
                        <w:jc w:val="center"/>
                        <w:rPr>
                          <w:rFonts w:ascii="Times" w:hAnsi="Times" w:cs="Times"/>
                        </w:rPr>
                      </w:pPr>
                      <w:r>
                        <w:rPr>
                          <w:rFonts w:ascii="Helvetica" w:hAnsi="Helvetica" w:cs="Helvetica"/>
                          <w:sz w:val="14"/>
                          <w:szCs w:val="14"/>
                        </w:rPr>
                        <w:t xml:space="preserve">6600 S. Indianapolis Road, </w:t>
                      </w:r>
                      <w:proofErr w:type="spellStart"/>
                      <w:r>
                        <w:rPr>
                          <w:rFonts w:ascii="Helvetica" w:hAnsi="Helvetica" w:cs="Helvetica"/>
                          <w:sz w:val="14"/>
                          <w:szCs w:val="14"/>
                        </w:rPr>
                        <w:t>Whitestown</w:t>
                      </w:r>
                      <w:proofErr w:type="spellEnd"/>
                      <w:r>
                        <w:rPr>
                          <w:rFonts w:ascii="Helvetica" w:hAnsi="Helvetica" w:cs="Helvetica"/>
                          <w:sz w:val="14"/>
                          <w:szCs w:val="14"/>
                        </w:rPr>
                        <w:t xml:space="preserve">, IN 46075 | </w:t>
                      </w:r>
                      <w:proofErr w:type="spellStart"/>
                      <w:r>
                        <w:rPr>
                          <w:rFonts w:ascii="Helvetica" w:hAnsi="Helvetica" w:cs="Helvetica"/>
                          <w:sz w:val="14"/>
                          <w:szCs w:val="14"/>
                        </w:rPr>
                        <w:t>ph</w:t>
                      </w:r>
                      <w:proofErr w:type="spellEnd"/>
                      <w:r>
                        <w:rPr>
                          <w:rFonts w:ascii="Helvetica" w:hAnsi="Helvetica" w:cs="Helvetica"/>
                          <w:sz w:val="14"/>
                          <w:szCs w:val="14"/>
                        </w:rPr>
                        <w:t xml:space="preserve"> 317.769.2450 | fax 317.769.2456</w:t>
                      </w:r>
                    </w:p>
                    <w:p w14:paraId="047E02CF" w14:textId="77777777" w:rsidR="00134E3E" w:rsidRDefault="00134E3E" w:rsidP="00134E3E">
                      <w:pPr>
                        <w:widowControl w:val="0"/>
                        <w:autoSpaceDE w:val="0"/>
                        <w:autoSpaceDN w:val="0"/>
                        <w:adjustRightInd w:val="0"/>
                        <w:spacing w:after="240"/>
                        <w:contextualSpacing/>
                        <w:jc w:val="center"/>
                        <w:rPr>
                          <w:rFonts w:ascii="Times" w:hAnsi="Times" w:cs="Times"/>
                        </w:rPr>
                      </w:pPr>
                      <w:proofErr w:type="gramStart"/>
                      <w:r>
                        <w:rPr>
                          <w:rFonts w:ascii="Helvetica" w:hAnsi="Helvetica" w:cs="Helvetica"/>
                          <w:color w:val="00008E"/>
                          <w:sz w:val="14"/>
                          <w:szCs w:val="14"/>
                        </w:rPr>
                        <w:t>www.tpcs.org</w:t>
                      </w:r>
                      <w:proofErr w:type="gramEnd"/>
                      <w:r>
                        <w:rPr>
                          <w:rFonts w:ascii="Helvetica" w:hAnsi="Helvetica" w:cs="Helvetica"/>
                          <w:color w:val="00008E"/>
                          <w:sz w:val="14"/>
                          <w:szCs w:val="14"/>
                        </w:rPr>
                        <w:t xml:space="preserve"> </w:t>
                      </w:r>
                      <w:r>
                        <w:rPr>
                          <w:rFonts w:ascii="Helvetica" w:hAnsi="Helvetica" w:cs="Helvetica"/>
                          <w:sz w:val="14"/>
                          <w:szCs w:val="14"/>
                        </w:rPr>
                        <w:t>| tpca.auction@gmail.com</w:t>
                      </w:r>
                    </w:p>
                    <w:p w14:paraId="713E76B8" w14:textId="77777777" w:rsidR="00134E3E" w:rsidRDefault="00134E3E"/>
                  </w:txbxContent>
                </v:textbox>
                <w10:wrap type="square"/>
              </v:shape>
            </w:pict>
          </mc:Fallback>
        </mc:AlternateContent>
      </w:r>
      <w:r>
        <w:t xml:space="preserve"> </w:t>
      </w:r>
      <w:r w:rsidR="00B8612E" w:rsidRPr="00B8612E">
        <w:rPr>
          <w:rFonts w:ascii="Baskerville" w:hAnsi="Baskerville" w:cs="Baskerville"/>
          <w:noProof/>
        </w:rPr>
        <w:drawing>
          <wp:inline distT="0" distB="0" distL="0" distR="0" wp14:anchorId="5E0DDCB6" wp14:editId="0326ABF3">
            <wp:extent cx="2249550" cy="821087"/>
            <wp:effectExtent l="0" t="0" r="1143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406" cy="822495"/>
                    </a:xfrm>
                    <a:prstGeom prst="rect">
                      <a:avLst/>
                    </a:prstGeom>
                    <a:noFill/>
                    <a:ln>
                      <a:noFill/>
                    </a:ln>
                  </pic:spPr>
                </pic:pic>
              </a:graphicData>
            </a:graphic>
          </wp:inline>
        </w:drawing>
      </w:r>
    </w:p>
    <w:sectPr w:rsidR="00022BAF" w:rsidSect="007264EA">
      <w:pgSz w:w="12240" w:h="15840"/>
      <w:pgMar w:top="1440" w:right="108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368"/>
    <w:multiLevelType w:val="hybridMultilevel"/>
    <w:tmpl w:val="9D98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05"/>
    <w:rsid w:val="00022BAF"/>
    <w:rsid w:val="000F2CDD"/>
    <w:rsid w:val="00134E3E"/>
    <w:rsid w:val="0019498D"/>
    <w:rsid w:val="001A19A6"/>
    <w:rsid w:val="001F5CFE"/>
    <w:rsid w:val="0068162F"/>
    <w:rsid w:val="007264EA"/>
    <w:rsid w:val="00895E46"/>
    <w:rsid w:val="00964F05"/>
    <w:rsid w:val="00B8612E"/>
    <w:rsid w:val="00BC2CB6"/>
    <w:rsid w:val="00C03DC7"/>
    <w:rsid w:val="00E8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A5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F05"/>
    <w:rPr>
      <w:rFonts w:ascii="Lucida Grande" w:hAnsi="Lucida Grande" w:cs="Lucida Grande"/>
      <w:sz w:val="18"/>
      <w:szCs w:val="18"/>
    </w:rPr>
  </w:style>
  <w:style w:type="character" w:styleId="Hyperlink">
    <w:name w:val="Hyperlink"/>
    <w:basedOn w:val="DefaultParagraphFont"/>
    <w:uiPriority w:val="99"/>
    <w:unhideWhenUsed/>
    <w:rsid w:val="001F5CFE"/>
    <w:rPr>
      <w:color w:val="0000FF" w:themeColor="hyperlink"/>
      <w:u w:val="single"/>
    </w:rPr>
  </w:style>
  <w:style w:type="paragraph" w:styleId="NoSpacing">
    <w:name w:val="No Spacing"/>
    <w:uiPriority w:val="1"/>
    <w:qFormat/>
    <w:rsid w:val="001F5CFE"/>
  </w:style>
  <w:style w:type="paragraph" w:styleId="ListParagraph">
    <w:name w:val="List Paragraph"/>
    <w:basedOn w:val="Normal"/>
    <w:uiPriority w:val="34"/>
    <w:qFormat/>
    <w:rsid w:val="001A19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F05"/>
    <w:rPr>
      <w:rFonts w:ascii="Lucida Grande" w:hAnsi="Lucida Grande" w:cs="Lucida Grande"/>
      <w:sz w:val="18"/>
      <w:szCs w:val="18"/>
    </w:rPr>
  </w:style>
  <w:style w:type="character" w:styleId="Hyperlink">
    <w:name w:val="Hyperlink"/>
    <w:basedOn w:val="DefaultParagraphFont"/>
    <w:uiPriority w:val="99"/>
    <w:unhideWhenUsed/>
    <w:rsid w:val="001F5CFE"/>
    <w:rPr>
      <w:color w:val="0000FF" w:themeColor="hyperlink"/>
      <w:u w:val="single"/>
    </w:rPr>
  </w:style>
  <w:style w:type="paragraph" w:styleId="NoSpacing">
    <w:name w:val="No Spacing"/>
    <w:uiPriority w:val="1"/>
    <w:qFormat/>
    <w:rsid w:val="001F5CFE"/>
  </w:style>
  <w:style w:type="paragraph" w:styleId="ListParagraph">
    <w:name w:val="List Paragraph"/>
    <w:basedOn w:val="Normal"/>
    <w:uiPriority w:val="34"/>
    <w:qFormat/>
    <w:rsid w:val="001A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Quilhot</dc:creator>
  <cp:keywords/>
  <dc:description/>
  <cp:lastModifiedBy>Heather Quilhot</cp:lastModifiedBy>
  <cp:revision>3</cp:revision>
  <cp:lastPrinted>2012-07-23T03:24:00Z</cp:lastPrinted>
  <dcterms:created xsi:type="dcterms:W3CDTF">2012-08-16T20:48:00Z</dcterms:created>
  <dcterms:modified xsi:type="dcterms:W3CDTF">2012-08-16T20:57:00Z</dcterms:modified>
</cp:coreProperties>
</file>